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32" coordsize="21600,21600" o:oned="t" filled="f" o:spt="32.0" path="m,l21600,21600e">
                <v:path arrowok="t" o:connecttype="none" fillok="f"/>
                <o:lock v:ext="edit" shapetype="t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Rule="auto"/>
            <w:jc w:val="center"/>
            <w:rPr>
              <w:b w:val="1"/>
              <w:color w:val="00cca5"/>
              <w:sz w:val="40"/>
              <w:szCs w:val="4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-965199</wp:posOffset>
                    </wp:positionH>
                    <wp:positionV relativeFrom="paragraph">
                      <wp:posOffset>1130300</wp:posOffset>
                    </wp:positionV>
                    <wp:extent cx="7591425" cy="38100"/>
                    <wp:effectExtent b="0" l="0" r="0" t="0"/>
                    <wp:wrapNone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1550288" y="3780000"/>
                              <a:ext cx="7591425" cy="0"/>
                            </a:xfrm>
                            <a:custGeom>
                              <a:rect b="b" l="l" r="r" t="t"/>
                              <a:pathLst>
                                <a:path extrusionOk="0" h="1" w="7591425">
                                  <a:moveTo>
                                    <a:pt x="0" y="0"/>
                                  </a:moveTo>
                                  <a:lnTo>
                                    <a:pt x="75914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38100">
                              <a:solidFill>
                                <a:srgbClr val="FF3399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-965199</wp:posOffset>
                    </wp:positionH>
                    <wp:positionV relativeFrom="paragraph">
                      <wp:posOffset>1130300</wp:posOffset>
                    </wp:positionV>
                    <wp:extent cx="7591425" cy="38100"/>
                    <wp:effectExtent b="0" l="0" r="0" t="0"/>
                    <wp:wrapNone/>
                    <wp:docPr id="6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91425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1748790</wp:posOffset>
                </wp:positionH>
                <wp:positionV relativeFrom="paragraph">
                  <wp:posOffset>-633094</wp:posOffset>
                </wp:positionV>
                <wp:extent cx="1924050" cy="1533525"/>
                <wp:effectExtent b="0" l="0" r="0" t="0"/>
                <wp:wrapTopAndBottom distB="0" distT="0"/>
                <wp:docPr descr="AADF logo definitiu gran.jpg" id="7" name="image2.jpg"/>
                <a:graphic>
                  <a:graphicData uri="http://schemas.openxmlformats.org/drawingml/2006/picture">
                    <pic:pic>
                      <pic:nvPicPr>
                        <pic:cNvPr descr="AADF logo definitiu gran.jpg"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53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Rule="auto"/>
            <w:jc w:val="center"/>
            <w:rPr>
              <w:b w:val="1"/>
              <w:color w:val="00cca5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Rule="auto"/>
            <w:jc w:val="center"/>
            <w:rPr>
              <w:b w:val="1"/>
              <w:color w:val="00cca5"/>
              <w:sz w:val="28"/>
              <w:szCs w:val="28"/>
            </w:rPr>
          </w:pPr>
          <w:r w:rsidDel="00000000" w:rsidR="00000000" w:rsidRPr="00000000">
            <w:rPr>
              <w:b w:val="1"/>
              <w:color w:val="00cca5"/>
              <w:sz w:val="28"/>
              <w:szCs w:val="28"/>
              <w:rtl w:val="0"/>
            </w:rPr>
            <w:t xml:space="preserve">QUÈ PODEN FER ELS MUNICIPIS PER A LA DIVERSITAT FAMILIAR?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jc w:val="both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En el marc de les properes eleccions municipals, els ajuntaments, si bé tenen molt limitades les capacitats legislatives, poden fer una gran tasca a peu de carrer per la normalització de la diversitat familiar.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="24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="240" w:lineRule="auto"/>
            <w:jc w:val="both"/>
            <w:rPr/>
          </w:pPr>
          <w:r w:rsidDel="00000000" w:rsidR="00000000" w:rsidRPr="00000000">
            <w:rPr>
              <w:sz w:val="24"/>
              <w:szCs w:val="24"/>
              <w:rtl w:val="0"/>
            </w:rPr>
            <w:t xml:space="preserve">Tenint en compte el que diuen </w:t>
          </w:r>
          <w:r w:rsidDel="00000000" w:rsidR="00000000" w:rsidRPr="00000000">
            <w:rPr>
              <w:rtl w:val="0"/>
            </w:rPr>
            <w:t xml:space="preserve">els articles de la </w:t>
          </w:r>
          <w:hyperlink r:id="rId9"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Llei 11/2014, del 10 d’octubre, per a garantir els drets de lesbianes, gais, bisexuals, transgèneres i intersexuals i per a eradicar l’homofòbia, la bifòbia i la transfòbia</w:t>
            </w:r>
          </w:hyperlink>
          <w:r w:rsidDel="00000000" w:rsidR="00000000" w:rsidRPr="00000000">
            <w:rPr>
              <w:rtl w:val="0"/>
            </w:rPr>
            <w:t xml:space="preserve">, pensem que aquests es poden fer extensius, també, a la diversitat familiar (en la qual s’inclouen, així mateix, les famílies LGTBI).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4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="240" w:lineRule="auto"/>
            <w:jc w:val="both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jc w:val="both"/>
            <w:rPr>
              <w:b w:val="1"/>
              <w:u w:val="single"/>
            </w:rPr>
          </w:pPr>
          <w:r w:rsidDel="00000000" w:rsidR="00000000" w:rsidRPr="00000000">
            <w:rPr>
              <w:b w:val="1"/>
              <w:u w:val="single"/>
              <w:rtl w:val="0"/>
            </w:rPr>
            <w:t xml:space="preserve">En relació a la diversitat familiar, ens centrem en els articles següents: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="240" w:lineRule="auto"/>
            <w:jc w:val="both"/>
            <w:rPr>
              <w:i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10. Formació i sensibilització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de Catalunya han de garantir la formació i la sensibilització adequada dels professionals que fan tasques de prevenció, detecció, atenció, assistència i recuperació en els àmbits de la salut, l’educació, el món laboral, els serveis socials, la justícia i els cossos de seguretat, l’esport i el lleure, i la comunicació.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S’ha d’impulsar la formació del personal, tant funcionari com laboral, no transferit d’altres administracions públiques, per mitjà de convenis de col∙laboració o altres instruments.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14. Cultura, lleure i esport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de Catalunya han de vetllar per la incorporació d’activitats per a la no discriminació per raons d’orientació sexual, identitat de gènere o expressió de gènere als àmbits de la cultura, el lleure i l’esport següents: a) Certàmens culturals i esdeveniments esportius. b) Projectes relacionats amb la recuperació de la memòria històrica. c) Espectacles i produccions culturals infantils i juvenils. d) Recursos didàctics i fons documentals en l’educació no formal. 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de Catalunya han de garantir: a) La promoció i difusió de les bones pràctiques de les associacions i les empreses d’educació en el lleure i de les entitats juvenils amb relació als principis d’aquesta llei. b) Juntament amb les federacions esportives, la lliure participació de les persones LGBTI a les competicions i el tracte correcte d’aquestes persones a les instal∙lacions esportives. c) L’ampliació de les funcions de l’Observatori Català de l’Esport pel que fa a les accions contra la violència i la discriminació en l’àmbit esportiu, i la recollida de les bones pràctiques de sensibilització dels clubs, les agrupacions i les federacions esportives. d) L’accés a bibliografia específica sobre la temàtica LGBTI. e) L’adopció de les mesures pertinents en funció de la competència en matèria d’espectacles i activitats recreatives per a evitar que es puguin cometre actes homofòbics, bifòbics o transfòbics.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16. Salut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de Catalunya, en les línies d’actuació relatives a la salut i al sistema sanitari, han de: a) Vetllar perquè la política sanitària sigui respectuosa amb les persones LGBTI i no tracti directament o indirectament la condició d’aquestes persones, especialment transgèneres i intersexuals, com una patologia. b) Elaborar polítiques de salut pública que vetllin pel dret a la salut de les persones LGBTI, amb l’adaptació dels protocols establerts, si escau. c) Establir estratègies específiques per a afrontar els problemes de salut específics de les persones LGBTI i enfortir la vigilància epidemiològica sensible a les diverses situacions de salut i de malaltia d’aquestes persones, amb respecte, en qualsevol cas, pel dret a la intimitat dels afectats. d) Crear mecanismes de participació de les persones, les entitats i les associacions LGBTI en les polítiques relatives a la salut sexual. e) Garantir l’estudi, la recerca i el desenvolupament de polítiques sanitàries específiques per a persones LGBTI. f) Promoure entre els diversos estaments de les institucions sanitàries l’establiment de pràctiques sanitàries o teràpies psicològiques lícites i respectuoses, i en cap cas aversives, pel que fa a l’orientació sexual, la identitat de gènere i l’expressió de gènere. g) Reconèixer el dret d’accés als mètodes preventius que garanteixen pràctiques sexuals més segures i eviten les infeccions de transmissió sexual i el tractament consegüent, i fomentar l’ús d’aquests mètodes. h) Reconèixer el dret a la prevenció, a la detecció eficaç i al tractament integral d’acord amb la cartera de serveis vigent, tenint en compte la seva revisió en funció dels avenços científics. Dur a terme activitats periòdiques de promoció de la salut, de prevenció de la malaltia i de sensibilització i de suport comunitari amb relació a les infeccions de transmissió sexual, tant per a homes com per a dones. i) Incorporar al sistema sanitari l’atenció integral a persones transgènere i a persones intersexuals, d’acord amb la cartera de serveis vigent, tenint en compte la seva revisió segons els avenços científics, i definint els criteris d’accés tant al tractament hormonal com a la intervenció quirúrgica. S’ha de tenir en compte la voluntat de la persona afectada en la presa de decisions, sempre que la seva vida no estigui en perill o les condicions de salut no es puguin veure perjudicades, d’acord amb la normativa vigent. Pel que fa als menors, s’ha de tenir especialment en compte, a més, llur dret al lliure desenvolupament de la personalitat i llur capacitat i maduresa per a prendre decisions. j) Establir els mecanismes necessaris perquè la documentació administrativa i els formularis mèdics s’adeqüin a l’heterogeneïtat del fet familiar i a les circumstàncies de les persones LGBTI. k) Garantir a les dones lesbianes la igualtat d’accés a les tècniques de reproducció assistida.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after="0" w:line="240" w:lineRule="auto"/>
            <w:ind w:left="360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spacing w:after="0" w:line="240" w:lineRule="auto"/>
            <w:ind w:left="360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22. Les famílies LGBTI 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6. Les administracions públiques de Catalunya han d’establir els mecanismes necessaris perquè la documentació administrativa s’adeqüi a les relacions afectives de les persones LGBTI i a l’heterogeneïtat del fet familiar.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23. Persones transgènere i persones intersexuals 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En l’àmbit de les administracions públiques de Catalunya, especialment en l’àmbit educatiu i universitari, s’han d’establir per reglament les condicions perquè les persones transgènere i les persones intersexuals siguin tractades i anomenades d’acord amb el nom del gènere amb què s’identifiquen, encara que siguin menors d’edat. 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de Catalunya han de vetllar, en qualsevol de llurs procediments, pel respecte a la confidencialitat de les dades relatives a la identitat de gènere de les persones beneficiàries d’aquesta llei.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23. Persones transgènere i persones intersexuals 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En l’àmbit de les administracions públiques de Catalunya, especialment en l’àmbit educatiu i universitari, s’han d’establir per reglament les condicions perquè les persones transgènere i les persones intersexuals siguin tractades i anomenades d’acord amb el nom del gènere amb què s’identifiquen, encara que siguin menors d’edat. 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de Catalunya han de vetllar, en qualsevol de llurs procediments, pel respecte a la confidencialitat de les dades relatives a la identitat de gènere de les persones beneficiàries d’aquesta llei.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27. Dret a una protecció integral, real i efectiva.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spacing w:after="0" w:line="240" w:lineRule="auto"/>
            <w:jc w:val="both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Les administracions públiques de Catalunya han de garantir a les persones LGBTI que pateixen o es troben en risc de patir qualsevol tipus de violència o discriminació el dret a rebre de manera immediata una protecció integral, real i efectiva.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Per altra banda, també considerem de vital importància, en el marc de la diversitat familiar, els següents articles de </w:t>
          </w:r>
          <w:hyperlink r:id="rId10"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la LLEI 14/2010, del 27 de maig, dels drets i les oportunitats en la infància i l'adolescència</w:t>
            </w:r>
          </w:hyperlink>
          <w:hyperlink r:id="rId11">
            <w:r w:rsidDel="00000000" w:rsidR="00000000" w:rsidRPr="00000000">
              <w:rPr>
                <w:color w:val="000000"/>
                <w:sz w:val="24"/>
                <w:szCs w:val="24"/>
                <w:u w:val="none"/>
                <w:rtl w:val="0"/>
              </w:rPr>
              <w:t xml:space="preserve">: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Preàmbul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L'interès superior de l'infant o l'adolescent constitueix el principi bàsic de tot el dret relatiu a aquestes persones, i en les últimes dècades s'ha confirmat com un dels principis essencials del dret modern de la persona i la família (en la protecció de menors, en l'adopció o en les relacions familiars). Així, l'esmentada convenció de les Nacions Unides sobre els drets de l'infant estableix que, en totes les mesures que adoptin les institucions públiques o privades de benestar social, els tribunals, les autoritats administratives o els òrgans legislatius, aquests hauran d'atendre amb una consideració primordial l'interès superior de l'infant.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En aquest mateix sentit, l'article 2 de la Llei orgànica 1/1996, del 15 de gener, de protecció jurídica del menor, estableix que en la seva aplicació ha de prevaler l'interès superior dels menors sobre qualsevol altre interès legítim que pugui concórrer i l'article 3 de la Llei 8/1995 estableix que l'interès superior de l'infant i l'adolescent ha d'ésser el principi inspirador de les actuacions públiques i de les decisions i les actuacions que els concerneixen adoptades i dutes a terme pels pares, tutors o guardadors, per les institucions públiques o privades encarregades de protegir-los i d'assistir-los o per l'autoritat judicial o administrativa.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3. Responsabilitat ciutadana i pública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L'obligació de vetllar pel respecte efectiu dels drets dels infants i els adolescents és una responsabilitat de la família, de tota la ciutadania i, molt particularment, de tots els poders públics, que també tenen l'obligació de defensar-los i promoure'ls.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han de desenvolupar llurs activitats de manera que els infants i els adolescents siguin considerats i reconeguts com a ciutadans de ple dret, sens perjudici de les limitacions que deriven de la minoria d'edat legal.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han d'exercir les funcions i les competències de promoció, d'atenció i de protecció dels drets dels infants i els adolescents, alhora que en faciliten els canals de participació adequats, d'acord amb el que estableix aquesta llei i la normativa sectorial aplicable, amb relació a cada situació que els afecti.</w:t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Els poders públics han de garantir el respecte dels drets dels infants i els adolescents i han d'adequar llurs actuacions a aquesta llei i a la normativa internacional sobre aquesta matèria.</w:t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rPr>
              <w:i w:val="1"/>
              <w:sz w:val="18"/>
              <w:szCs w:val="18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6. Desenvolupament de les potencialitats personals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La criança i la formació dels infants i els adolescents ha de garantir-ne el desenvolupament físic, mental, espiritual, moral i social, d'una manera lliure, integral i harmònica, i ha de potenciar en tot moment llurs capacitats educatives i d'aprenentatge, i procurar-los el benestar físic, psicològic i social.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9. No-discriminació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numPr>
              <w:ilvl w:val="0"/>
              <w:numId w:val="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Els poders públics han de garantir el principi d'igualtat i eliminar qualsevol discriminació a infants o adolescents per raó de raça, sexe, idioma, religió, opinió política o d'una altra índole, origen nacional, ètnic o social, posició econòmica, condicions físiques, psíquiques o sensorials, estat de salut, naixement, orientació sexual o qualsevol altra condició personal o de llurs progenitors o representants legals.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numPr>
              <w:ilvl w:val="0"/>
              <w:numId w:val="9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Els poders públics han d'identificar d'una manera activa els infants o els adolescents que, individualment o en grup, requereixen l'adopció de mesures protectores especials per a reduir o eliminar factors de discriminació.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10. Perspectiva de gènere i de diversitat funcional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numPr>
              <w:ilvl w:val="0"/>
              <w:numId w:val="1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Els poders públics han d'introduir la perspectiva de gènere en el desenvolupament i l'avaluació de les mesures que adopten amb relació als infants i els adolescents, de manera que en totes les actuacions i tots els programes que els adrecen es tingui en compte que són nois i noies i que poden tenir necessitats iguals o específiques.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12. Respecte i suport a les responsabilitats parentals</w:t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numPr>
              <w:ilvl w:val="0"/>
              <w:numId w:val="1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(...) Les polítiques d'atenció i protecció dels infants i els adolescents han d'incloure les actuacions necessàries per a l'efectivitat de llurs drets, tenint en compte que el benestar dels infants i els adolescents està íntimament relacionat amb el de llurs famílies.</w:t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numPr>
              <w:ilvl w:val="0"/>
              <w:numId w:val="1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Els poders públics han de proporcionar la protecció i l'assistència necessàries a les famílies perquè puguin assumir plenament llurs responsabilitats.</w:t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76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19. Coneixement rigorós i divulgació de la realitat social</w:t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Els poders públics han de fomentar la realització i la divulgació de treballs d'investigació i informes sobre la situació dels infants i els adolescents, com a base de les polítiques d'infància.</w:t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pStyle w:val="Heading3"/>
            <w:shd w:fill="ffffff" w:val="clear"/>
            <w:spacing w:after="0" w:before="0" w:lineRule="auto"/>
            <w:jc w:val="both"/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color w:val="000000"/>
              <w:sz w:val="18"/>
              <w:szCs w:val="18"/>
              <w:rtl w:val="0"/>
            </w:rPr>
            <w:t xml:space="preserve">Article 23. 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  <w:rtl w:val="0"/>
            </w:rPr>
            <w:t xml:space="preserve">Recursos i serveis</w:t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pStyle w:val="Heading3"/>
            <w:shd w:fill="ffffff" w:val="clear"/>
            <w:spacing w:after="0" w:before="0" w:lineRule="auto"/>
            <w:jc w:val="both"/>
            <w:rPr>
              <w:rFonts w:ascii="Calibri" w:cs="Calibri" w:eastAsia="Calibri" w:hAnsi="Calibri"/>
              <w:b w:val="0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Els municipis i la resta d'ens locals, amb col·laboració de la Generalitat, han de promoure, mitjançant els plans d'actuació local previstos per la Llei de serveis socials, els serveis residencials i d'acolliment en consideració a la situació i les necessitats dels infants i els adolescents del llur territori. En les revisions o modificacions del planejament urbanístic municipal es poden tenir en compte les previsions contingudes en aquests plans.</w:t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720" w:right="0" w:hanging="36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entitats públiques, les entitats d'iniciativa privada i especialment les entitats d'iniciativa social de l'àmbit del tercer sector social, d'acord amb la legislació de serveis socials, poden promoure l'establiment dels recursos, els serveis i els equipaments a què fa referència aquest article mitjançant acords i convenis amb les administracions públiques que corresponguin, de conformitat amb el mapa de recursos i serveis i la planificació local establerta.</w:t>
          </w:r>
        </w:p>
      </w:sdtContent>
    </w:sdt>
    <w:bookmarkStart w:colFirst="0" w:colLast="0" w:name="bookmark=id.gjdgxs" w:id="0"/>
    <w:bookmarkEnd w:id="0"/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spacing w:after="0" w:lineRule="auto"/>
            <w:rPr>
              <w:i w:val="1"/>
              <w:sz w:val="18"/>
              <w:szCs w:val="18"/>
            </w:rPr>
          </w:pPr>
          <w:r w:rsidDel="00000000" w:rsidR="00000000" w:rsidRPr="00000000">
            <w:rPr>
              <w:i w:val="1"/>
              <w:sz w:val="18"/>
              <w:szCs w:val="18"/>
              <w:rtl w:val="0"/>
            </w:rPr>
            <w:t xml:space="preserve">Article 34. Dret de participació</w:t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Els infants i els adolescents tenen el dret de participar plenament en els nuclis de convivència més immediats i en la vida social, cultural, artística i recreativa de llur entorn. Els poders públics els han d'oferir les oportunitats necessàries perquè s'incorporin progressivament a la ciutadania activa, d'acord amb llur grau de desenvolupament personal.</w:t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han d'establir procediments destinats a recollir les opinions dels infants i els adolescents amb relació a les polítiques, les normes, els projectes, els programes o les decisions que els afecten.</w:t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pStyle w:val="Heading3"/>
            <w:shd w:fill="ffffff" w:val="clear"/>
            <w:spacing w:after="0" w:before="0" w:lineRule="auto"/>
            <w:jc w:val="both"/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  <w:rtl w:val="0"/>
            </w:rPr>
            <w:t xml:space="preserve">Article 39. Mediació</w:t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pStyle w:val="Heading3"/>
            <w:shd w:fill="ffffff" w:val="clear"/>
            <w:spacing w:after="0" w:before="0" w:lineRule="auto"/>
            <w:jc w:val="both"/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shd w:fill="ffffff" w:val="clear"/>
            <w:spacing w:after="0" w:lineRule="auto"/>
            <w:jc w:val="both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Els poders públics, a fi de garantir el dret dels infants i els adolescents a relacionar-se amb llurs famílies, han de fixar procediments específics de mediació familiar. El sistema de mediació també ha d'incloure els conflictes que afecten els infants i els adolescents en l'àmbit familiar.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shd w:fill="ffffff" w:val="clear"/>
            <w:spacing w:after="0" w:lineRule="auto"/>
            <w:jc w:val="both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pStyle w:val="Heading3"/>
            <w:shd w:fill="ffffff" w:val="clear"/>
            <w:spacing w:after="0" w:before="0" w:lineRule="auto"/>
            <w:jc w:val="both"/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pStyle w:val="Heading3"/>
            <w:shd w:fill="ffffff" w:val="clear"/>
            <w:spacing w:after="0" w:before="0" w:lineRule="auto"/>
            <w:jc w:val="both"/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  <w:rtl w:val="0"/>
            </w:rPr>
            <w:t xml:space="preserve">Article 75. Promoció i sensibilització ciutadana</w:t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pStyle w:val="Heading3"/>
            <w:shd w:fill="ffffff" w:val="clear"/>
            <w:spacing w:after="0" w:before="0" w:lineRule="auto"/>
            <w:jc w:val="both"/>
            <w:rPr>
              <w:rFonts w:ascii="Calibri" w:cs="Calibri" w:eastAsia="Calibri" w:hAnsi="Calibri"/>
              <w:b w:val="0"/>
              <w:i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Les administracions públiques han de posar en pràctica programes d'informació i sensibilització adreçats a prevenir àmpliament, i cercant la col·laboració ciutadana i la iniciativa privada, totes les problemàtiques socials que afecten la població infantil i adolescent de Catalunya</w:t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spacing w:after="0" w:lineRule="auto"/>
            <w:rPr>
              <w:sz w:val="18"/>
              <w:szCs w:val="18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spacing w:after="0" w:line="24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spacing w:after="0" w:line="24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Així, des de l’Associació d’Atenció a la Diversitat Familiar, considerem que les tasques que poden dur a terme els governs municipals es poden organitzar en quatre grans blocs que són els següents:</w:t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spacing w:after="0"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spacing w:after="0" w:line="240" w:lineRule="auto"/>
            <w:jc w:val="both"/>
            <w:rPr>
              <w:b w:val="1"/>
              <w:color w:val="ff3399"/>
              <w:sz w:val="18"/>
              <w:szCs w:val="18"/>
            </w:rPr>
          </w:pPr>
          <w:r w:rsidDel="00000000" w:rsidR="00000000" w:rsidRPr="00000000">
            <w:rPr>
              <w:b w:val="1"/>
              <w:color w:val="ff3399"/>
              <w:sz w:val="18"/>
              <w:szCs w:val="18"/>
              <w:rtl w:val="0"/>
            </w:rPr>
            <w:t xml:space="preserve">NORMALITZACIÓ I VISIBILITZACIÓ DE LA DIVERSITAT DES DEL GOVERN MUNICIPAL</w:t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—Incorporar una perspectiva de respecte, reforç, normalització i inclusió de la diversitat familiar en tota l’estructura municipal i en totes aquelles entitats en què hi ha participació del govern municipal.</w:t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—Contemplar un llenguatge inclusiu i positiu en els escrits i formularis municipals, discursos i actes dels membres del govern de la ciutat, etc.</w:t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—Emprar modelde diversitat familiar en les imatges publicitàries que depenguin del govern municipal.</w:t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—Vetllar per una promoció municipal inclusiva en relació a la diversitat familiar (incloure la diversitat familiar en les publicacions, fulletons, imats ges, etc. de promoció municipal).</w:t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—Promoure la celebració del Dia de les famílies (15 de maig) i altres actes de visibilitazció de la diversitat familiar, afectiva, sexual i de gènere.</w:t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—Organitzar certàmens culturals on es tingui en compte la diversitat familiar.</w:t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—Programar espectacles i produccions culturals, esportives i festives que tinguin en compte la diversitat familiar.</w:t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tabs>
              <w:tab w:val="left" w:pos="1185"/>
            </w:tabs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ab/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spacing w:after="0" w:line="240" w:lineRule="auto"/>
            <w:jc w:val="both"/>
            <w:rPr>
              <w:b w:val="1"/>
              <w:color w:val="ff3399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spacing w:after="0" w:line="240" w:lineRule="auto"/>
            <w:jc w:val="both"/>
            <w:rPr>
              <w:b w:val="1"/>
              <w:color w:val="ff3399"/>
              <w:sz w:val="18"/>
              <w:szCs w:val="18"/>
            </w:rPr>
          </w:pPr>
          <w:r w:rsidDel="00000000" w:rsidR="00000000" w:rsidRPr="00000000">
            <w:rPr>
              <w:b w:val="1"/>
              <w:color w:val="ff3399"/>
              <w:sz w:val="18"/>
              <w:szCs w:val="18"/>
              <w:rtl w:val="0"/>
            </w:rPr>
            <w:t xml:space="preserve">EDUCACIÓ i FORMACIÓ EN MATERIA DE DIVERSITAT</w:t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Seria interesant, en el marc de la coeducació i feminisme, fer campanyes de sensibilització per la normalització i visibilització de la diversitat familiar (que incloguin sempre i també una bona educació contra la LGTBIfòbia). </w:t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—Organitzar xerrades, taules rodones i debats tant per a adults, com per a infants i adolescents, en relació a la diversitat familiar.</w:t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—Programar i crear exposicions itinerants informatives sobre diversitat familiar.</w:t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—Crear, a les biblioteques municipals, un fons especial de visibilització de la diversitat familiar i organització de clubs i guies de lectura sobre el tema.</w:t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—Crear carpes informatives sobre diversitat familiar.</w:t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—Organitzar xerrades i tallers a escoles i centres educatius, per tal que aquests siguin conscients de la importància de treballar la diversitat familiar en totes les etapes educatives i tinguin einer per a fer-ho.</w:t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—Dotar el personal docent del municipi de les eines necessàries per a poder fer un bon acompanyament i gestió de les diferents dinàmiques familiars.</w:t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—Treballar des del govern municipal per assolir el compromís dels centres educatius en l’educació i normalització de la diversitat familiar.</w:t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—Realitzar campanyes informatives i formatives per al personal de l’ajuntament, centres educatius, CAP, agents municipals, etc. sobre protocols i sensibilització vers la diversitat familiar (col·lectiu LGTBI, famílies monoparentals, adoptives, etc.).</w:t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spacing w:after="0" w:line="240" w:lineRule="auto"/>
            <w:jc w:val="both"/>
            <w:rPr>
              <w:b w:val="1"/>
              <w:color w:val="ff3399"/>
              <w:sz w:val="18"/>
              <w:szCs w:val="18"/>
            </w:rPr>
          </w:pPr>
          <w:r w:rsidDel="00000000" w:rsidR="00000000" w:rsidRPr="00000000">
            <w:rPr>
              <w:b w:val="1"/>
              <w:color w:val="ff3399"/>
              <w:sz w:val="18"/>
              <w:szCs w:val="18"/>
              <w:rtl w:val="0"/>
            </w:rPr>
            <w:t xml:space="preserve">CONSCIENCIACIÓ DE LA SOCIETAT</w:t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—Animar les entitats privades del municipi a contemplar la diversitat familiar en els seus formularis, escrits, promocions, publicacions, etc., proposant-los nous models integradors i respectuosos amb la diversitat.</w:t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—Promoure el canvi de la denominació de les AMPA a AFI o AFA (associació famílies d’infants o d’alumnes), oferint a les associacions els mitjans municipals disponibles per a dur a terme i agilitzar aquest tràmit.</w:t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spacing w:after="0" w:line="240" w:lineRule="auto"/>
            <w:jc w:val="both"/>
            <w:rPr>
              <w:b w:val="1"/>
              <w:color w:val="ff3399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spacing w:after="0" w:line="240" w:lineRule="auto"/>
            <w:jc w:val="both"/>
            <w:rPr>
              <w:b w:val="1"/>
              <w:color w:val="ff3399"/>
              <w:sz w:val="18"/>
              <w:szCs w:val="18"/>
            </w:rPr>
          </w:pPr>
          <w:r w:rsidDel="00000000" w:rsidR="00000000" w:rsidRPr="00000000">
            <w:rPr>
              <w:b w:val="1"/>
              <w:color w:val="ff3399"/>
              <w:sz w:val="18"/>
              <w:szCs w:val="18"/>
              <w:rtl w:val="0"/>
            </w:rPr>
            <w:t xml:space="preserve">Accions concretes en dependències d’àmbit municipal</w:t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—En centres que depenguin del municipi i on aquest pugui legislar (escoles bressol municipals, piscines, poliesportiu, etc.), contemplar les famílies enllaçades i altres tipologies familiars (com les famílies tribu) com a unitats familiars de ple dret, per exemple:</w:t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*Assegurar-se que els mediadors, agents dels serveis socials i psicòlegs municipals tinguin formació en diversitat familiar (terminologia, inclusió, etc.) i contemplin les particularitats de les diferents tipologies familiars.</w:t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spacing w:after="0" w:line="24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spacing w:after="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*Modificar les ordenances municipals en qüestió de descomptes i puntuacions en el cas de centres educatius, formació, etc., que depenguin del municipi.</w:t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spacing w:after="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spacing w:after="0" w:lineRule="auto"/>
            <w:jc w:val="both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—Sol·licitar a la Diputació que, dins dels pressupostos anuals destinats al municipi, inclogui recursos formatius i de suport en aquest àmbit.</w:t>
          </w: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Totes aquestes tasques es podrien concentrar en el si d’un departament de Polítiques de Família o amb un Pla Municipal de Famílies com el que han engegat alguns ajuntaments de Catalunya, els quals, a banda de les campanyes de sensibilització, normalizació, visibilització i formació en relació a la diversitat familiar, haurien de tenir altres objectius com: </w:t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—donar suport a les necessitats de les famílies del municipi,</w:t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—facilitar eines per al desenvolupament d’habilitats per a millorar l’atenció-educació de l’infant (amb la creació d’escoles de família, per exemple), </w:t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—impulsar programes per a per a facilitar a les famílies la conciliació de la vida familiar, laboral i personal,</w:t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—gestionar les polítiques familiars de forma transversal assegurant la qualitat en la seva prestació, </w:t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—promoure la corresponsabilitat entre família-escola-ciutat en el rol d’educador, </w:t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—oferir a les famílies i els seus infants activitats de caràcter lúdic i cultural en les que puguin participar activament a la ciutat, </w:t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—sensibilitzar sobre els valors democràtics de la nostra societat a la ciutadania, </w:t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—promoure la cohesió social i la millora de l'èxit educatiu fomentant la participació del teixit associatiu de la ciutat, </w:t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—promoure la participació infantil a la ciutat. </w:t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—etc.</w:t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spacing w:after="0" w:lineRule="auto"/>
            <w:jc w:val="both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En cas de crear-se aquests departaments, seria convenient que treballessin transversalment i d’acord amb les polítiques d’igualtat de gènere, drets LGTBI, educació, etc.</w:t>
          </w:r>
        </w:p>
      </w:sdtContent>
    </w:sdt>
    <w:sectPr>
      <w:headerReference r:id="rId12" w:type="default"/>
      <w:footerReference r:id="rId13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80"/>
    </w:sdtPr>
    <w:sdtContent>
      <w:p w:rsidR="00000000" w:rsidDel="00000000" w:rsidP="00000000" w:rsidRDefault="00000000" w:rsidRPr="00000000" w14:paraId="000000B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drawing>
            <wp:inline distB="0" distT="0" distL="0" distR="0">
              <wp:extent cx="1088052" cy="868393"/>
              <wp:effectExtent b="0" l="0" r="0" t="0"/>
              <wp:docPr descr="AADF logo definitiu gran.jpg" id="8" name="image2.jpg"/>
              <a:graphic>
                <a:graphicData uri="http://schemas.openxmlformats.org/drawingml/2006/picture">
                  <pic:pic>
                    <pic:nvPicPr>
                      <pic:cNvPr descr="AADF logo definitiu gran.jpg" id="0" name="image2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8052" cy="86839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79"/>
    </w:sdtPr>
    <w:sdtContent>
      <w:p w:rsidR="00000000" w:rsidDel="00000000" w:rsidP="00000000" w:rsidRDefault="00000000" w:rsidRPr="00000000" w14:paraId="000000B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" w:cs="Times" w:eastAsia="Times" w:hAnsi="Times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" w:cs="Times" w:eastAsia="Times" w:hAnsi="Times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" w:cs="Times" w:eastAsia="Times" w:hAnsi="Times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0383"/>
  </w:style>
  <w:style w:type="paragraph" w:styleId="Ttulo1">
    <w:name w:val="heading 1"/>
    <w:basedOn w:val="Normal"/>
    <w:link w:val="Ttulo1Car"/>
    <w:uiPriority w:val="9"/>
    <w:qFormat w:val="1"/>
    <w:rsid w:val="00B60B35"/>
    <w:pPr>
      <w:spacing w:after="100" w:afterAutospacing="1" w:before="100" w:beforeAutospacing="1" w:line="240" w:lineRule="auto"/>
      <w:outlineLvl w:val="0"/>
    </w:pPr>
    <w:rPr>
      <w:rFonts w:ascii="Times" w:hAnsi="Times"/>
      <w:b w:val="1"/>
      <w:bCs w:val="1"/>
      <w:kern w:val="36"/>
      <w:sz w:val="48"/>
      <w:szCs w:val="48"/>
      <w:lang w:val="en-GB"/>
    </w:rPr>
  </w:style>
  <w:style w:type="paragraph" w:styleId="Ttulo2">
    <w:name w:val="heading 2"/>
    <w:basedOn w:val="Normal"/>
    <w:link w:val="Ttulo2Car"/>
    <w:uiPriority w:val="9"/>
    <w:qFormat w:val="1"/>
    <w:rsid w:val="00B60B35"/>
    <w:pPr>
      <w:spacing w:after="100" w:afterAutospacing="1" w:before="100" w:beforeAutospacing="1" w:line="240" w:lineRule="auto"/>
      <w:outlineLvl w:val="1"/>
    </w:pPr>
    <w:rPr>
      <w:rFonts w:ascii="Times" w:hAnsi="Times"/>
      <w:b w:val="1"/>
      <w:bCs w:val="1"/>
      <w:sz w:val="36"/>
      <w:szCs w:val="36"/>
      <w:lang w:val="en-GB"/>
    </w:rPr>
  </w:style>
  <w:style w:type="paragraph" w:styleId="Ttulo3">
    <w:name w:val="heading 3"/>
    <w:basedOn w:val="Normal"/>
    <w:link w:val="Ttulo3Car"/>
    <w:uiPriority w:val="9"/>
    <w:qFormat w:val="1"/>
    <w:rsid w:val="00B60B35"/>
    <w:pPr>
      <w:spacing w:after="100" w:afterAutospacing="1" w:before="100" w:beforeAutospacing="1" w:line="240" w:lineRule="auto"/>
      <w:outlineLvl w:val="2"/>
    </w:pPr>
    <w:rPr>
      <w:rFonts w:ascii="Times" w:hAnsi="Times"/>
      <w:b w:val="1"/>
      <w:bCs w:val="1"/>
      <w:sz w:val="27"/>
      <w:szCs w:val="27"/>
      <w:lang w:val="en-GB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A823D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0C118B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4A44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055F76"/>
    <w:rPr>
      <w:color w:val="800080" w:themeColor="followedHyperlink"/>
      <w:u w:val="single"/>
    </w:rPr>
  </w:style>
  <w:style w:type="paragraph" w:styleId="mce" w:customStyle="1">
    <w:name w:val="mce"/>
    <w:basedOn w:val="Normal"/>
    <w:rsid w:val="00BD06EB"/>
    <w:pPr>
      <w:spacing w:after="100" w:afterAutospacing="1" w:before="100" w:beforeAutospacing="1" w:line="240" w:lineRule="auto"/>
    </w:pPr>
    <w:rPr>
      <w:rFonts w:ascii="Times" w:hAnsi="Times"/>
      <w:sz w:val="20"/>
      <w:szCs w:val="20"/>
      <w:lang w:val="en-GB"/>
    </w:rPr>
  </w:style>
  <w:style w:type="character" w:styleId="t16" w:customStyle="1">
    <w:name w:val="t16"/>
    <w:basedOn w:val="Fuentedeprrafopredeter"/>
    <w:rsid w:val="00124741"/>
  </w:style>
  <w:style w:type="character" w:styleId="nfasis">
    <w:name w:val="Emphasis"/>
    <w:basedOn w:val="Fuentedeprrafopredeter"/>
    <w:uiPriority w:val="20"/>
    <w:qFormat w:val="1"/>
    <w:rsid w:val="00124741"/>
    <w:rPr>
      <w:i w:val="1"/>
      <w:iCs w:val="1"/>
    </w:rPr>
  </w:style>
  <w:style w:type="character" w:styleId="Ttulo1Car" w:customStyle="1">
    <w:name w:val="Título 1 Car"/>
    <w:basedOn w:val="Fuentedeprrafopredeter"/>
    <w:link w:val="Ttulo1"/>
    <w:uiPriority w:val="9"/>
    <w:rsid w:val="00B60B35"/>
    <w:rPr>
      <w:rFonts w:ascii="Times" w:hAnsi="Times"/>
      <w:b w:val="1"/>
      <w:bCs w:val="1"/>
      <w:kern w:val="36"/>
      <w:sz w:val="48"/>
      <w:szCs w:val="48"/>
      <w:lang w:val="en-GB"/>
    </w:rPr>
  </w:style>
  <w:style w:type="character" w:styleId="Ttulo2Car" w:customStyle="1">
    <w:name w:val="Título 2 Car"/>
    <w:basedOn w:val="Fuentedeprrafopredeter"/>
    <w:link w:val="Ttulo2"/>
    <w:uiPriority w:val="9"/>
    <w:rsid w:val="00B60B35"/>
    <w:rPr>
      <w:rFonts w:ascii="Times" w:hAnsi="Times"/>
      <w:b w:val="1"/>
      <w:bCs w:val="1"/>
      <w:sz w:val="36"/>
      <w:szCs w:val="36"/>
      <w:lang w:val="en-GB"/>
    </w:rPr>
  </w:style>
  <w:style w:type="character" w:styleId="Ttulo3Car" w:customStyle="1">
    <w:name w:val="Título 3 Car"/>
    <w:basedOn w:val="Fuentedeprrafopredeter"/>
    <w:link w:val="Ttulo3"/>
    <w:uiPriority w:val="9"/>
    <w:rsid w:val="00B60B35"/>
    <w:rPr>
      <w:rFonts w:ascii="Times" w:hAnsi="Times"/>
      <w:b w:val="1"/>
      <w:bCs w:val="1"/>
      <w:sz w:val="27"/>
      <w:szCs w:val="27"/>
      <w:lang w:val="en-GB"/>
    </w:rPr>
  </w:style>
  <w:style w:type="character" w:styleId="in-widget" w:customStyle="1">
    <w:name w:val="in-widget"/>
    <w:basedOn w:val="Fuentedeprrafopredeter"/>
    <w:rsid w:val="00B60B35"/>
  </w:style>
  <w:style w:type="character" w:styleId="pin1541254453766buttonpin" w:customStyle="1">
    <w:name w:val="pin_1541254453766_button_pin"/>
    <w:basedOn w:val="Fuentedeprrafopredeter"/>
    <w:rsid w:val="00B60B35"/>
  </w:style>
  <w:style w:type="paragraph" w:styleId="NormalWeb">
    <w:name w:val="Normal (Web)"/>
    <w:basedOn w:val="Normal"/>
    <w:uiPriority w:val="99"/>
    <w:unhideWhenUsed w:val="1"/>
    <w:rsid w:val="00B60B35"/>
    <w:pPr>
      <w:spacing w:after="100" w:afterAutospacing="1" w:before="100" w:beforeAutospacing="1" w:line="240" w:lineRule="auto"/>
    </w:pPr>
    <w:rPr>
      <w:rFonts w:ascii="Times" w:cs="Times New Roman" w:hAnsi="Times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 w:val="1"/>
    <w:rsid w:val="00B60B35"/>
    <w:rPr>
      <w:b w:val="1"/>
      <w:bCs w:val="1"/>
    </w:rPr>
  </w:style>
  <w:style w:type="character" w:styleId="tocnumber" w:customStyle="1">
    <w:name w:val="tocnumber"/>
    <w:basedOn w:val="Fuentedeprrafopredeter"/>
    <w:rsid w:val="00B60B35"/>
  </w:style>
  <w:style w:type="character" w:styleId="toctext" w:customStyle="1">
    <w:name w:val="toctext"/>
    <w:basedOn w:val="Fuentedeprrafopredeter"/>
    <w:rsid w:val="00B60B35"/>
  </w:style>
  <w:style w:type="character" w:styleId="mw-headline" w:customStyle="1">
    <w:name w:val="mw-headline"/>
    <w:basedOn w:val="Fuentedeprrafopredeter"/>
    <w:rsid w:val="00B60B35"/>
  </w:style>
  <w:style w:type="character" w:styleId="entry-time" w:customStyle="1">
    <w:name w:val="entry-time"/>
    <w:basedOn w:val="Fuentedeprrafopredeter"/>
    <w:rsid w:val="00E41212"/>
  </w:style>
  <w:style w:type="character" w:styleId="entry-author" w:customStyle="1">
    <w:name w:val="entry-author"/>
    <w:basedOn w:val="Fuentedeprrafopredeter"/>
    <w:rsid w:val="00E41212"/>
  </w:style>
  <w:style w:type="character" w:styleId="entry-categories" w:customStyle="1">
    <w:name w:val="entry-categories"/>
    <w:basedOn w:val="Fuentedeprrafopredeter"/>
    <w:rsid w:val="00E4121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41212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41212"/>
    <w:rPr>
      <w:rFonts w:ascii="Lucida Grande" w:cs="Lucida Grande" w:hAnsi="Lucida Grande"/>
      <w:sz w:val="18"/>
      <w:szCs w:val="1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A823D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92464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92464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92464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92464A"/>
  </w:style>
  <w:style w:type="paragraph" w:styleId="Prrafodelista">
    <w:name w:val="List Paragraph"/>
    <w:basedOn w:val="Normal"/>
    <w:uiPriority w:val="34"/>
    <w:qFormat w:val="1"/>
    <w:rsid w:val="00A479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rtaljuridic.gencat.cat/ca/pjur_ocults/pjur_resultats_fitxa/?documentId=553898&amp;action=fitxa" TargetMode="External"/><Relationship Id="rId10" Type="http://schemas.openxmlformats.org/officeDocument/2006/relationships/hyperlink" Target="https://portaljuridic.gencat.cat/ca/pjur_ocults/pjur_resultats_fitxa/?documentId=553898&amp;action=fitxa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alcomsom.vic.ppe.entitats.diba.cat/wp-content/uploads/sites/10/2014/10/Llei-11-2014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48dIvWBgRpKWziZ5Y2k9M6Krw==">AMUW2mVDPFp/8Wmurlf0J3LFQiMCkUkZ2nlgXDqfbtn6COJDi0wL8GmGErCP1L8kXTL7Zjl8RpOBpFrKzB10yhIcPLH6bCO+0MKO96dnZxI4NVC9r7CMY/y2kD5bmCCFxhuARtgfKzbp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2019-05-18T07:14:00Z</dcterms:created>
  <dc:creator>BRF</dc:creator>
</cp:coreProperties>
</file>